
<file path=[Content_Types].xml><?xml version="1.0" encoding="utf-8"?>
<Types xmlns="http://schemas.openxmlformats.org/package/2006/content-types">
  <Default Extension="jpg" ContentType="image/jpeg"/>
  <Default Extension="jpeg" ContentType="image/jpeg"/>
  <Default Extension="png" ContentType="image/png"/>
  <Default Extension="tif" ContentType="image/tiff"/>
  <Default Extension="bmp" ContentType="image/bmp"/>
  <Default Extension="gif" ContentType="image/gif"/>
  <Default Extension="wmf" ContentType="image/metafile"/>
  <Default Extension="emf" ContentType="image/x-emf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</Types>
</file>

<file path=_rels/.rels><?xml version="1.0" encoding="UTF-8" standalone="yes"?><Relationships xmlns="http://schemas.openxmlformats.org/package/2006/relationships" 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14:paraId="012D9B9A" wp14:textId="397FA7E3">
      <w:pPr>
        <w:pStyle w:val="Normal"/>
        <w:numId w:val="0"/>
        <w:ilvl w:val="0"/>
        <w:widowControl/>
        <w:spacing w:before="0" w:after="160" w:line="259" w:lineRule="auto"/>
        <w:rPr>
          <w:rFonts w:ascii="Calibri" w:hAnsi="Calibri" w:eastAsia="Calibri" w:cs="Calibri"/>
          <w:sz w:val="22"/>
          <w:szCs w:val="22"/>
        </w:rPr>
      </w:pPr>
      <w:r w:rsidRPr="77E96784" w:rsidR="77E96784">
        <w:rPr>
          <w:rFonts w:ascii="Calibri" w:hAnsi="Calibri" w:eastAsia="Calibri" w:cs="Calibri"/>
          <w:sz w:val="22"/>
          <w:szCs w:val="22"/>
        </w:rPr>
        <w:t xml:space="preserve">De Dueñas Gonzalez, et al "Necesidades de </w:t>
      </w:r>
      <w:r w:rsidRPr="77E96784" w:rsidR="77E96784">
        <w:rPr>
          <w:rFonts w:ascii="Calibri" w:hAnsi="Calibri" w:eastAsia="Calibri" w:cs="Calibri"/>
          <w:sz w:val="22"/>
          <w:szCs w:val="22"/>
          <w:u w:val="single"/>
        </w:rPr>
        <w:t>adaptación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 </w:t>
      </w:r>
      <w:r w:rsidRPr="77E96784">
        <w:rPr>
          <w:rStyle w:val="FootnoteReference"/>
          <w:rFonts w:ascii="Calibri" w:hAnsi="Calibri" w:eastAsia="Calibri" w:cs="Calibri"/>
          <w:sz w:val="22"/>
          <w:szCs w:val="22"/>
        </w:rPr>
        <w:footnoteReference w:id="30696"/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lingüística en la </w:t>
      </w:r>
      <w:r w:rsidRPr="77E96784" w:rsidR="77E96784">
        <w:rPr>
          <w:rFonts w:ascii="Calibri" w:hAnsi="Calibri" w:eastAsia="Calibri" w:cs="Calibri"/>
          <w:sz w:val="22"/>
          <w:szCs w:val="22"/>
          <w:u w:val="single"/>
        </w:rPr>
        <w:t>etapa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 </w:t>
      </w:r>
      <w:r w:rsidRPr="77E96784">
        <w:rPr>
          <w:rStyle w:val="FootnoteReference"/>
          <w:rFonts w:ascii="Calibri" w:hAnsi="Calibri" w:eastAsia="Calibri" w:cs="Calibri"/>
          <w:sz w:val="22"/>
          <w:szCs w:val="22"/>
        </w:rPr>
        <w:footnoteReference w:id="830"/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de interrogatorio de 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custodia" (p. XVI. </w:t>
      </w:r>
      <w:r w:rsidRPr="77E96784" w:rsidR="77E96784">
        <w:rPr>
          <w:rFonts w:ascii="Calibri" w:hAnsi="Calibri" w:eastAsia="Calibri" w:cs="Calibri"/>
          <w:sz w:val="22"/>
          <w:szCs w:val="22"/>
        </w:rPr>
        <w:t>Fundamentos de la interpretación judicial: teoría, políticas y práctica.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 U de Carolina, </w:t>
      </w:r>
      <w:r w:rsidRPr="77E96784" w:rsidR="77E96784">
        <w:rPr>
          <w:rFonts w:ascii="Calibri" w:hAnsi="Calibri" w:eastAsia="Calibri" w:cs="Calibri"/>
          <w:sz w:val="22"/>
          <w:szCs w:val="22"/>
        </w:rPr>
        <w:t>2012.</w:t>
      </w:r>
    </w:p>
    <w:p xmlns:wp14="http://schemas.microsoft.com/office/word/2010/wordml" w14:paraId="762C1851" wp14:textId="5FEE44B9">
      <w:pPr>
        <w:pStyle w:val="Normal"/>
        <w:numId w:val="0"/>
        <w:ilvl w:val="0"/>
        <w:widowControl/>
        <w:spacing w:before="0" w:after="160" w:line="259" w:lineRule="auto"/>
        <w:rPr>
          <w:rFonts w:ascii="Calibri" w:hAnsi="Calibri" w:eastAsia="Calibri" w:cs="Calibri"/>
          <w:sz w:val="22"/>
          <w:szCs w:val="22"/>
        </w:rPr>
      </w:pPr>
      <w:r w:rsidRPr="77E96784" w:rsidR="77E96784">
        <w:rPr>
          <w:rFonts w:ascii="Calibri" w:hAnsi="Calibri" w:eastAsia="Calibri" w:cs="Calibri"/>
          <w:sz w:val="22"/>
          <w:szCs w:val="22"/>
        </w:rPr>
        <w:t>[. . .] 1.1 “</w:t>
      </w:r>
      <w:r w:rsidRPr="77E96784" w:rsidR="77E96784">
        <w:rPr>
          <w:rFonts w:ascii="Calibri" w:hAnsi="Calibri" w:eastAsia="Calibri" w:cs="Calibri"/>
          <w:sz w:val="22"/>
          <w:szCs w:val="22"/>
          <w:u w:val="single"/>
        </w:rPr>
        <w:t>Incumplimiento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 </w:t>
      </w:r>
      <w:r w:rsidRPr="77E96784">
        <w:rPr>
          <w:rStyle w:val="FootnoteReference"/>
          <w:rFonts w:ascii="Calibri" w:hAnsi="Calibri" w:eastAsia="Calibri" w:cs="Calibri"/>
          <w:sz w:val="22"/>
          <w:szCs w:val="22"/>
        </w:rPr>
        <w:footnoteReference w:id="30025"/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de las obligaciones legales de </w:t>
      </w:r>
      <w:r w:rsidRPr="77E96784" w:rsidR="77E96784">
        <w:rPr>
          <w:rFonts w:ascii="Calibri" w:hAnsi="Calibri" w:eastAsia="Calibri" w:cs="Calibri"/>
          <w:sz w:val="22"/>
          <w:szCs w:val="22"/>
          <w:u w:val="single"/>
        </w:rPr>
        <w:t>proporcionar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 </w:t>
      </w:r>
      <w:r w:rsidRPr="77E96784">
        <w:rPr>
          <w:rStyle w:val="FootnoteReference"/>
          <w:rFonts w:ascii="Calibri" w:hAnsi="Calibri" w:eastAsia="Calibri" w:cs="Calibri"/>
          <w:sz w:val="22"/>
          <w:szCs w:val="22"/>
        </w:rPr>
        <w:footnoteReference w:id="26491"/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un acceso lingüístico </w:t>
      </w:r>
      <w:r w:rsidRPr="77E96784" w:rsidR="77E96784">
        <w:rPr>
          <w:rFonts w:ascii="Calibri" w:hAnsi="Calibri" w:eastAsia="Calibri" w:cs="Calibri"/>
          <w:sz w:val="22"/>
          <w:szCs w:val="22"/>
          <w:u w:val="single"/>
        </w:rPr>
        <w:t>significativo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 </w:t>
      </w:r>
      <w:r w:rsidRPr="77E96784">
        <w:rPr>
          <w:rStyle w:val="FootnoteReference"/>
          <w:rFonts w:ascii="Calibri" w:hAnsi="Calibri" w:eastAsia="Calibri" w:cs="Calibri"/>
          <w:sz w:val="22"/>
          <w:szCs w:val="22"/>
        </w:rPr>
        <w:footnoteReference w:id="6271"/>
      </w:r>
      <w:r w:rsidRPr="77E96784" w:rsidR="77E96784">
        <w:rPr>
          <w:rFonts w:ascii="Calibri" w:hAnsi="Calibri" w:eastAsia="Calibri" w:cs="Calibri"/>
          <w:sz w:val="22"/>
          <w:szCs w:val="22"/>
        </w:rPr>
        <w:t>en los interrogatorios de custodia”</w:t>
      </w:r>
    </w:p>
    <w:p xmlns:wp14="http://schemas.microsoft.com/office/word/2010/wordml" w14:paraId="0FCF69F4" wp14:textId="64B53A50">
      <w:pPr>
        <w:pStyle w:val="Normal"/>
        <w:numId w:val="0"/>
        <w:ilvl w:val="0"/>
        <w:widowControl/>
        <w:spacing w:before="0" w:after="160" w:line="259" w:lineRule="auto"/>
        <w:rPr>
          <w:rFonts w:ascii="Calibri" w:hAnsi="Calibri" w:eastAsia="Calibri" w:cs="Calibri"/>
          <w:sz w:val="22"/>
          <w:szCs w:val="22"/>
        </w:rPr>
      </w:pPr>
      <w:r w:rsidRPr="77E96784" w:rsidR="77E96784">
        <w:rPr>
          <w:rFonts w:ascii="Calibri" w:hAnsi="Calibri" w:eastAsia="Calibri" w:cs="Calibri"/>
          <w:sz w:val="22"/>
          <w:szCs w:val="22"/>
        </w:rPr>
        <w:t xml:space="preserve">En el </w:t>
      </w:r>
      <w:r w:rsidRPr="77E96784" w:rsidR="77E96784">
        <w:rPr>
          <w:rFonts w:ascii="Calibri" w:hAnsi="Calibri" w:eastAsia="Calibri" w:cs="Calibri"/>
          <w:sz w:val="22"/>
          <w:szCs w:val="22"/>
          <w:u w:val="single"/>
        </w:rPr>
        <w:t>ámbito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 </w:t>
      </w:r>
      <w:r w:rsidRPr="77E96784">
        <w:rPr>
          <w:rStyle w:val="FootnoteReference"/>
          <w:rFonts w:ascii="Calibri" w:hAnsi="Calibri" w:eastAsia="Calibri" w:cs="Calibri"/>
          <w:sz w:val="22"/>
          <w:szCs w:val="22"/>
        </w:rPr>
        <w:footnoteReference w:id="18696"/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de la aplicación de la ley, la Guía LEP del Título VI (USDOJ 2002b) se ha ignorado </w:t>
      </w:r>
      <w:r w:rsidRPr="77E96784" w:rsidR="77E96784">
        <w:rPr>
          <w:rFonts w:ascii="Calibri" w:hAnsi="Calibri" w:eastAsia="Calibri" w:cs="Calibri"/>
          <w:sz w:val="22"/>
          <w:szCs w:val="22"/>
          <w:u w:val="single"/>
        </w:rPr>
        <w:t xml:space="preserve">en gran </w:t>
      </w:r>
      <w:r w:rsidRPr="77E96784" w:rsidR="77E96784">
        <w:rPr>
          <w:rFonts w:ascii="Calibri" w:hAnsi="Calibri" w:eastAsia="Calibri" w:cs="Calibri"/>
          <w:sz w:val="22"/>
          <w:szCs w:val="22"/>
          <w:u w:val="single"/>
        </w:rPr>
        <w:t>medida</w:t>
      </w:r>
      <w:r w:rsidRPr="77E96784">
        <w:rPr>
          <w:rStyle w:val="FootnoteReference"/>
          <w:rFonts w:ascii="Calibri" w:hAnsi="Calibri" w:eastAsia="Calibri" w:cs="Calibri"/>
          <w:sz w:val="22"/>
          <w:szCs w:val="22"/>
        </w:rPr>
        <w:footnoteReference w:id="5973"/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, o </w:t>
      </w:r>
      <w:r w:rsidRPr="77E96784" w:rsidR="77E96784">
        <w:rPr>
          <w:rFonts w:ascii="Calibri" w:hAnsi="Calibri" w:eastAsia="Calibri" w:cs="Calibri"/>
          <w:sz w:val="22"/>
          <w:szCs w:val="22"/>
          <w:u w:val="single"/>
        </w:rPr>
        <w:t>no se ha aplicado en la práctica</w:t>
      </w:r>
      <w:r w:rsidRPr="77E96784">
        <w:rPr>
          <w:rStyle w:val="FootnoteReference"/>
          <w:rFonts w:ascii="Calibri" w:hAnsi="Calibri" w:eastAsia="Calibri" w:cs="Calibri"/>
          <w:sz w:val="22"/>
          <w:szCs w:val="22"/>
        </w:rPr>
        <w:footnoteReference w:id="2275"/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, lo que ha permitido la proliferación de </w:t>
      </w:r>
      <w:r w:rsidRPr="77E96784" w:rsidR="77E96784">
        <w:rPr>
          <w:rFonts w:ascii="Calibri" w:hAnsi="Calibri" w:eastAsia="Calibri" w:cs="Calibri"/>
          <w:sz w:val="22"/>
          <w:szCs w:val="22"/>
          <w:u w:val="single"/>
        </w:rPr>
        <w:t>políticas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 </w:t>
      </w:r>
      <w:r w:rsidRPr="77E96784">
        <w:rPr>
          <w:rStyle w:val="FootnoteReference"/>
          <w:rFonts w:ascii="Calibri" w:hAnsi="Calibri" w:eastAsia="Calibri" w:cs="Calibri"/>
          <w:sz w:val="22"/>
          <w:szCs w:val="22"/>
        </w:rPr>
        <w:footnoteReference w:id="18480"/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y prácticas no </w:t>
      </w:r>
      <w:r w:rsidRPr="77E96784" w:rsidR="77E96784">
        <w:rPr>
          <w:rFonts w:ascii="Calibri" w:hAnsi="Calibri" w:eastAsia="Calibri" w:cs="Calibri"/>
          <w:sz w:val="22"/>
          <w:szCs w:val="22"/>
          <w:u w:val="single"/>
        </w:rPr>
        <w:t>informadas lingüísticamente</w:t>
      </w:r>
      <w:r w:rsidRPr="77E96784">
        <w:rPr>
          <w:rStyle w:val="FootnoteReference"/>
          <w:rFonts w:ascii="Calibri" w:hAnsi="Calibri" w:eastAsia="Calibri" w:cs="Calibri"/>
          <w:sz w:val="22"/>
          <w:szCs w:val="22"/>
        </w:rPr>
        <w:footnoteReference w:id="3444"/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. En lugar de utilizar intérpretes PCI (Intérpretes Profesionales Certificados), 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las agencias de aplicación de la ley </w:t>
      </w:r>
      <w:r w:rsidRPr="77E96784" w:rsidR="77E96784">
        <w:rPr>
          <w:rFonts w:ascii="Calibri" w:hAnsi="Calibri" w:eastAsia="Calibri" w:cs="Calibri"/>
          <w:sz w:val="22"/>
          <w:szCs w:val="22"/>
          <w:u w:val="single"/>
        </w:rPr>
        <w:t>han dependido</w:t>
      </w:r>
      <w:r w:rsidRPr="77E96784">
        <w:rPr>
          <w:rStyle w:val="FootnoteReference"/>
          <w:rFonts w:ascii="Calibri" w:hAnsi="Calibri" w:eastAsia="Calibri" w:cs="Calibri"/>
          <w:sz w:val="22"/>
          <w:szCs w:val="22"/>
        </w:rPr>
        <w:footnoteReference w:id="15804"/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 de intérpretes policiales "auto identificados" que no 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están obligados a cumplir con ningún conjunto de estándares de competencia. Como alternativa, 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pueden depender del personal de la policía que haya pasado una evaluación que no mide de manera 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válida o confiable su capacidad para proveer </w:t>
      </w:r>
      <w:r w:rsidRPr="77E96784" w:rsidR="77E96784">
        <w:rPr>
          <w:rFonts w:ascii="Calibri" w:hAnsi="Calibri" w:eastAsia="Calibri" w:cs="Calibri"/>
          <w:i w:val="1"/>
          <w:iCs w:val="1"/>
          <w:sz w:val="22"/>
          <w:szCs w:val="22"/>
        </w:rPr>
        <w:t>los derechos Miranda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, explicarlos, aclararlos o realizar un 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interrogatorio en el idioma nativo del </w:t>
      </w:r>
      <w:r w:rsidRPr="77E96784" w:rsidR="77E96784">
        <w:rPr>
          <w:rFonts w:ascii="Calibri" w:hAnsi="Calibri" w:eastAsia="Calibri" w:cs="Calibri"/>
          <w:sz w:val="22"/>
          <w:szCs w:val="22"/>
          <w:u w:val="single"/>
        </w:rPr>
        <w:t>sospechoso</w:t>
      </w:r>
      <w:r w:rsidRPr="77E96784">
        <w:rPr>
          <w:rStyle w:val="FootnoteReference"/>
          <w:rFonts w:ascii="Calibri" w:hAnsi="Calibri" w:eastAsia="Calibri" w:cs="Calibri"/>
          <w:sz w:val="22"/>
          <w:szCs w:val="22"/>
        </w:rPr>
        <w:footnoteReference w:id="6424"/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. Por lo tanto, las agencias de aplicación de la ley 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todavía dependen de personal de aplicación de la ley que no </w:t>
      </w:r>
      <w:r w:rsidRPr="77E96784" w:rsidR="77E96784">
        <w:rPr>
          <w:rFonts w:ascii="Calibri" w:hAnsi="Calibri" w:eastAsia="Calibri" w:cs="Calibri"/>
          <w:sz w:val="22"/>
          <w:szCs w:val="22"/>
          <w:u w:val="single"/>
        </w:rPr>
        <w:t>ha sido capacitado</w:t>
      </w:r>
      <w:r w:rsidRPr="77E96784">
        <w:rPr>
          <w:rStyle w:val="FootnoteReference"/>
          <w:rFonts w:ascii="Calibri" w:hAnsi="Calibri" w:eastAsia="Calibri" w:cs="Calibri"/>
          <w:sz w:val="22"/>
          <w:szCs w:val="22"/>
        </w:rPr>
        <w:footnoteReference w:id="4373"/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, no ha sido probado y 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habla un idioma extranjero para realizar tareas complejas como interrogar, traducir e interpretar en un 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idioma en el que estos empleados no tienen </w:t>
      </w:r>
      <w:r w:rsidRPr="77E96784" w:rsidR="77E96784">
        <w:rPr>
          <w:rFonts w:ascii="Calibri" w:hAnsi="Calibri" w:eastAsia="Calibri" w:cs="Calibri"/>
          <w:sz w:val="22"/>
          <w:szCs w:val="22"/>
          <w:u w:val="single"/>
        </w:rPr>
        <w:t>capacitación especializada</w:t>
      </w:r>
      <w:r w:rsidRPr="77E96784">
        <w:rPr>
          <w:rStyle w:val="FootnoteReference"/>
          <w:rFonts w:ascii="Calibri" w:hAnsi="Calibri" w:eastAsia="Calibri" w:cs="Calibri"/>
          <w:sz w:val="22"/>
          <w:szCs w:val="22"/>
        </w:rPr>
        <w:footnoteReference w:id="15431"/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. Se asume erróneamente que su 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capacidad para hablar dos idiomas en cualquier grado los califica automáticamente para realizar estas 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funciones </w:t>
      </w:r>
      <w:r w:rsidRPr="77E96784" w:rsidR="77E96784">
        <w:rPr>
          <w:rFonts w:ascii="Calibri" w:hAnsi="Calibri" w:eastAsia="Calibri" w:cs="Calibri"/>
          <w:sz w:val="22"/>
          <w:szCs w:val="22"/>
          <w:u w:val="single"/>
        </w:rPr>
        <w:t>cognitivamente complejas</w:t>
      </w:r>
      <w:r w:rsidRPr="77E96784">
        <w:rPr>
          <w:rStyle w:val="FootnoteReference"/>
          <w:rFonts w:ascii="Calibri" w:hAnsi="Calibri" w:eastAsia="Calibri" w:cs="Calibri"/>
          <w:sz w:val="22"/>
          <w:szCs w:val="22"/>
        </w:rPr>
        <w:footnoteReference w:id="20099"/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 en </w:t>
      </w:r>
      <w:r w:rsidRPr="77E96784" w:rsidR="77E96784">
        <w:rPr>
          <w:rFonts w:ascii="Calibri" w:hAnsi="Calibri" w:eastAsia="Calibri" w:cs="Calibri"/>
          <w:sz w:val="22"/>
          <w:szCs w:val="22"/>
          <w:u w:val="single"/>
        </w:rPr>
        <w:t>entornos de alto riesgo</w:t>
      </w:r>
      <w:r w:rsidRPr="77E96784">
        <w:rPr>
          <w:rStyle w:val="FootnoteReference"/>
          <w:rFonts w:ascii="Calibri" w:hAnsi="Calibri" w:eastAsia="Calibri" w:cs="Calibri"/>
          <w:sz w:val="22"/>
          <w:szCs w:val="22"/>
        </w:rPr>
        <w:footnoteReference w:id="10555"/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. Sin embargo, académicos en los campos 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de la lingüística y la interpretación han reconocido </w:t>
      </w:r>
      <w:r w:rsidRPr="77E96784" w:rsidR="77E96784">
        <w:rPr>
          <w:rFonts w:ascii="Calibri" w:hAnsi="Calibri" w:eastAsia="Calibri" w:cs="Calibri"/>
          <w:sz w:val="22"/>
          <w:szCs w:val="22"/>
          <w:u w:val="single"/>
        </w:rPr>
        <w:t>el grave daño causado</w:t>
      </w:r>
      <w:r w:rsidRPr="77E96784">
        <w:rPr>
          <w:rStyle w:val="FootnoteReference"/>
          <w:rFonts w:ascii="Calibri" w:hAnsi="Calibri" w:eastAsia="Calibri" w:cs="Calibri"/>
          <w:sz w:val="22"/>
          <w:szCs w:val="22"/>
        </w:rPr>
        <w:footnoteReference w:id="4827"/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 por el uso de policías 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supuestamente bilingües para entregar advertencias a Miranda, </w:t>
      </w:r>
      <w:r w:rsidRPr="77E96784" w:rsidR="77E96784">
        <w:rPr>
          <w:rFonts w:ascii="Calibri" w:hAnsi="Calibri" w:eastAsia="Calibri" w:cs="Calibri"/>
          <w:sz w:val="22"/>
          <w:szCs w:val="22"/>
          <w:u w:val="single"/>
        </w:rPr>
        <w:t>realizar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 </w:t>
      </w:r>
      <w:r w:rsidRPr="77E96784">
        <w:rPr>
          <w:rStyle w:val="FootnoteReference"/>
          <w:rFonts w:ascii="Calibri" w:hAnsi="Calibri" w:eastAsia="Calibri" w:cs="Calibri"/>
          <w:sz w:val="22"/>
          <w:szCs w:val="22"/>
        </w:rPr>
        <w:footnoteReference w:id="12612"/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interrogatorios y brindar 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interpretación [. . .]. La falta de estándares de interpretación en el </w:t>
      </w:r>
      <w:r w:rsidRPr="77E96784" w:rsidR="77E96784">
        <w:rPr>
          <w:rFonts w:ascii="Calibri" w:hAnsi="Calibri" w:eastAsia="Calibri" w:cs="Calibri"/>
          <w:sz w:val="22"/>
          <w:szCs w:val="22"/>
          <w:u w:val="single"/>
        </w:rPr>
        <w:t>entorno de aplicación de la ley</w:t>
      </w:r>
      <w:r w:rsidRPr="77E96784">
        <w:rPr>
          <w:rStyle w:val="FootnoteReference"/>
          <w:rFonts w:ascii="Calibri" w:hAnsi="Calibri" w:eastAsia="Calibri" w:cs="Calibri"/>
          <w:sz w:val="22"/>
          <w:szCs w:val="22"/>
        </w:rPr>
        <w:footnoteReference w:id="6011"/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 llevó a 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EE. UU. DOJ (2002a) para emitir la siguiente guía complementaria y comentarios específicamente a los </w:t>
      </w:r>
      <w:r w:rsidRPr="77E96784" w:rsidR="77E96784">
        <w:rPr>
          <w:rFonts w:ascii="Calibri" w:hAnsi="Calibri" w:eastAsia="Calibri" w:cs="Calibri"/>
          <w:sz w:val="22"/>
          <w:szCs w:val="22"/>
        </w:rPr>
        <w:t>organismos encargados de hacer cumplir la ley:</w:t>
      </w:r>
    </w:p>
    <w:p xmlns:wp14="http://schemas.microsoft.com/office/word/2010/wordml" w14:paraId="45261BAB" wp14:textId="4DE5011F">
      <w:pPr>
        <w:pStyle w:val="Normal"/>
        <w:numId w:val="0"/>
        <w:ilvl w:val="0"/>
        <w:widowControl/>
        <w:spacing w:before="0" w:after="160" w:line="259" w:lineRule="auto"/>
        <w:ind w:left="720"/>
        <w:rPr>
          <w:rFonts w:ascii="Calibri" w:hAnsi="Calibri" w:eastAsia="Calibri" w:cs="Calibri"/>
          <w:sz w:val="22"/>
          <w:szCs w:val="22"/>
        </w:rPr>
      </w:pPr>
      <w:r w:rsidRPr="77E96784" w:rsidR="77E96784">
        <w:rPr>
          <w:rFonts w:ascii="Calibri" w:hAnsi="Calibri" w:eastAsia="Calibri" w:cs="Calibri"/>
          <w:sz w:val="22"/>
          <w:szCs w:val="22"/>
          <w:u w:val="single"/>
        </w:rPr>
        <w:t>Al proporcionar</w:t>
      </w:r>
      <w:r w:rsidRPr="77E96784">
        <w:rPr>
          <w:rStyle w:val="FootnoteReference"/>
          <w:rFonts w:ascii="Calibri" w:hAnsi="Calibri" w:eastAsia="Calibri" w:cs="Calibri"/>
          <w:sz w:val="22"/>
          <w:szCs w:val="22"/>
        </w:rPr>
        <w:footnoteReference w:id="6780"/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 servicios de interpretación, los organismos encargados de hacer cumplir la ley 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deben garantizar la competencia del intérprete. . . Sin embargo, pocas agencias de aplicación de 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la ley </w:t>
      </w:r>
      <w:r w:rsidRPr="77E96784" w:rsidR="77E96784">
        <w:rPr>
          <w:rFonts w:ascii="Calibri" w:hAnsi="Calibri" w:eastAsia="Calibri" w:cs="Calibri"/>
          <w:sz w:val="22"/>
          <w:szCs w:val="22"/>
          <w:u w:val="single"/>
        </w:rPr>
        <w:t>han implementado medidas de control de calidad</w:t>
      </w:r>
      <w:r w:rsidRPr="77E96784">
        <w:rPr>
          <w:rStyle w:val="FootnoteReference"/>
          <w:rFonts w:ascii="Calibri" w:hAnsi="Calibri" w:eastAsia="Calibri" w:cs="Calibri"/>
          <w:sz w:val="22"/>
          <w:szCs w:val="22"/>
        </w:rPr>
        <w:footnoteReference w:id="1292"/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 que garanticen que los miembros del 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personal u otros intérpretes sean confiables. . . Con demasiada frecuencia, los organismos 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encargados de hacer cumplir la ley confían en intérpretes que se identifican a sí mismos sin 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verificar su competencia. Además, la capacidad de hablar un idioma extranjero no es la misma </w:t>
      </w:r>
      <w:r w:rsidRPr="77E96784" w:rsidR="77E96784">
        <w:rPr>
          <w:rFonts w:ascii="Calibri" w:hAnsi="Calibri" w:eastAsia="Calibri" w:cs="Calibri"/>
          <w:sz w:val="22"/>
          <w:szCs w:val="22"/>
        </w:rPr>
        <w:t>habilidad que traducir un idioma extranjero al inglés o al revés (np)</w:t>
      </w:r>
    </w:p>
    <w:p xmlns:wp14="http://schemas.microsoft.com/office/word/2010/wordml" w14:paraId="65E67CF8" wp14:textId="5166A86A">
      <w:pPr>
        <w:pStyle w:val="Normal"/>
        <w:numId w:val="0"/>
        <w:ilvl w:val="0"/>
        <w:widowControl/>
        <w:spacing w:before="0" w:after="160" w:line="259" w:lineRule="auto"/>
        <w:rPr>
          <w:rFonts w:ascii="Calibri" w:hAnsi="Calibri" w:eastAsia="Calibri" w:cs="Calibri"/>
          <w:sz w:val="22"/>
          <w:szCs w:val="22"/>
        </w:rPr>
      </w:pPr>
      <w:r w:rsidRPr="77E96784" w:rsidR="77E96784">
        <w:rPr>
          <w:rFonts w:ascii="Calibri" w:hAnsi="Calibri" w:eastAsia="Calibri" w:cs="Calibri"/>
          <w:sz w:val="22"/>
          <w:szCs w:val="22"/>
        </w:rPr>
        <w:t xml:space="preserve">[. . .] Curiosamente, los entornos de interrogatorio de custodia </w:t>
      </w:r>
      <w:r w:rsidRPr="77E96784" w:rsidR="77E96784">
        <w:rPr>
          <w:rFonts w:ascii="Calibri" w:hAnsi="Calibri" w:eastAsia="Calibri" w:cs="Calibri"/>
          <w:sz w:val="22"/>
          <w:szCs w:val="22"/>
          <w:u w:val="single"/>
        </w:rPr>
        <w:t>se ven a través de una lente diferente</w:t>
      </w:r>
      <w:r w:rsidRPr="77E96784">
        <w:rPr>
          <w:rStyle w:val="FootnoteReference"/>
          <w:rFonts w:ascii="Calibri" w:hAnsi="Calibri" w:eastAsia="Calibri" w:cs="Calibri"/>
          <w:sz w:val="22"/>
          <w:szCs w:val="22"/>
        </w:rPr>
        <w:footnoteReference w:id="28946"/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 y 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se tratan como si los frutos de estos eventos de investigación </w:t>
      </w:r>
      <w:r w:rsidRPr="77E96784" w:rsidR="77E96784">
        <w:rPr>
          <w:rFonts w:ascii="Calibri" w:hAnsi="Calibri" w:eastAsia="Calibri" w:cs="Calibri"/>
          <w:sz w:val="22"/>
          <w:szCs w:val="22"/>
          <w:u w:val="single"/>
        </w:rPr>
        <w:t xml:space="preserve">no fueran importantes para los resultados </w:t>
      </w:r>
      <w:r w:rsidRPr="77E96784" w:rsidR="77E96784">
        <w:rPr>
          <w:rFonts w:ascii="Calibri" w:hAnsi="Calibri" w:eastAsia="Calibri" w:cs="Calibri"/>
          <w:sz w:val="22"/>
          <w:szCs w:val="22"/>
          <w:u w:val="single"/>
        </w:rPr>
        <w:t>legales de las personas con LEP</w:t>
      </w:r>
      <w:r w:rsidRPr="77E96784">
        <w:rPr>
          <w:rStyle w:val="FootnoteReference"/>
          <w:rFonts w:ascii="Calibri" w:hAnsi="Calibri" w:eastAsia="Calibri" w:cs="Calibri"/>
          <w:sz w:val="22"/>
          <w:szCs w:val="22"/>
        </w:rPr>
        <w:footnoteReference w:id="7559"/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. Sin embargo, reconociendo el grave daño causado por la falta de acceso 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significativo, el Departamento de Justicia de EE. UU. (2002b) </w:t>
      </w:r>
      <w:r w:rsidRPr="77E96784" w:rsidR="77E96784">
        <w:rPr>
          <w:rFonts w:ascii="Calibri" w:hAnsi="Calibri" w:eastAsia="Calibri" w:cs="Calibri"/>
          <w:sz w:val="22"/>
          <w:szCs w:val="22"/>
          <w:u w:val="single"/>
        </w:rPr>
        <w:t xml:space="preserve">enfatiza que los servicios de asistencia </w:t>
      </w:r>
      <w:r w:rsidRPr="77E96784" w:rsidR="77E96784">
        <w:rPr>
          <w:rFonts w:ascii="Calibri" w:hAnsi="Calibri" w:eastAsia="Calibri" w:cs="Calibri"/>
          <w:sz w:val="22"/>
          <w:szCs w:val="22"/>
          <w:u w:val="single"/>
        </w:rPr>
        <w:t>lingüística para personas LEP en interacciones críticas que amenazan la vida o la libertad</w:t>
      </w:r>
      <w:r w:rsidRPr="77E96784">
        <w:rPr>
          <w:rStyle w:val="FootnoteReference"/>
          <w:rFonts w:ascii="Calibri" w:hAnsi="Calibri" w:eastAsia="Calibri" w:cs="Calibri"/>
          <w:sz w:val="22"/>
          <w:szCs w:val="22"/>
        </w:rPr>
        <w:footnoteReference w:id="23953"/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 deben ser </w:t>
      </w:r>
      <w:r w:rsidRPr="77E96784" w:rsidR="77E96784">
        <w:rPr>
          <w:rFonts w:ascii="Calibri" w:hAnsi="Calibri" w:eastAsia="Calibri" w:cs="Calibri"/>
          <w:sz w:val="22"/>
          <w:szCs w:val="22"/>
        </w:rPr>
        <w:t xml:space="preserve">proporcionados por un intérprete de PCI que cumpla con los estándares de brindar acceso significativo. </w:t>
      </w:r>
      <w:r w:rsidRPr="77E96784" w:rsidR="77E96784">
        <w:rPr>
          <w:rFonts w:ascii="Calibri" w:hAnsi="Calibri" w:eastAsia="Calibri" w:cs="Calibri"/>
          <w:sz w:val="22"/>
          <w:szCs w:val="22"/>
        </w:rPr>
        <w:t>al más alto nivel, particularmente en el contexto del interrogatorio [. . .].</w:t>
      </w:r>
    </w:p>
    <w:p xmlns:wp14="http://schemas.microsoft.com/office/word/2010/wordml" w14:paraId="672A6659" wp14:textId="77777777">
      <w:pPr>
        <w:pStyle w:val="Normal"/>
        <w:numId w:val="0"/>
        <w:ilvl w:val="0"/>
        <w:spacing w:before="0" w:after="0" w:line="240"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</w:rPr>
      </w:r>
    </w:p>
    <w:sectPr>
      <w:pgSz w:w="12240" w:h="15840" w:orient="portrait"/>
      <w:pgMar w:top="1440" w:right="1440" w:bottom="1440" w:left="1440" w:header="720" w:footer="720" w:gutter="0"/>
      <w:cols w:space="720"/>
      <w:paperSrc w:first="0" w:other="0"/>
      <w:pgNumType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charset w:val="0x1"/>
    <w:family w:val="nil"/>
  </w:font>
</w:fonts>
</file>

<file path=word/footnotes.xml><?xml version="1.0" encoding="utf-8"?>
<w:footnotes xmlns:w14="http://schemas.microsoft.com/office/word/2010/wordml" xmlns:w="http://schemas.openxmlformats.org/wordprocessingml/2006/main">
  <w:footnote w:type="separator" w:id="-1">
    <w:p w:rsidR="77E96784" w:rsidRDefault="77E96784" w14:paraId="0036B96F" w14:textId="6AC5C31F">
      <w:pPr>
        <w:spacing w:after="0" w:line="240" w:lineRule="auto"/>
      </w:pPr>
      <w:r>
        <w:separator/>
      </w:r>
    </w:p>
  </w:footnote>
  <w:footnote w:type="continuationSeparator" w:id="0">
    <w:p w:rsidR="77E96784" w:rsidRDefault="77E96784" w14:paraId="28645DC1" w14:textId="51F663C6">
      <w:pPr>
        <w:spacing w:after="0" w:line="240" w:lineRule="auto"/>
      </w:pPr>
      <w:r>
        <w:continuationSeparator/>
      </w:r>
    </w:p>
  </w:footnote>
  <w:footnote w:id="30696">
    <w:p w:rsidR="77E96784" w:rsidP="77E96784" w:rsidRDefault="77E96784" w14:paraId="3BEC3275" w14:textId="26009A1E">
      <w:pPr>
        <w:pStyle w:val="FootnoteText"/>
        <w:bidi w:val="0"/>
      </w:pPr>
      <w:r w:rsidRPr="77E96784">
        <w:rPr>
          <w:rStyle w:val="FootnoteReference"/>
          <w:sz w:val="20"/>
          <w:szCs w:val="20"/>
        </w:rPr>
        <w:footnoteRef/>
      </w:r>
      <w:r w:rsidRPr="77E96784" w:rsidR="77E96784">
        <w:rPr>
          <w:sz w:val="20"/>
          <w:szCs w:val="20"/>
        </w:rPr>
        <w:t xml:space="preserve"> accommodation</w:t>
      </w:r>
    </w:p>
  </w:footnote>
  <w:footnote w:id="830">
    <w:p w:rsidR="77E96784" w:rsidP="77E96784" w:rsidRDefault="77E96784" w14:paraId="7A8602BA" w14:textId="3242BC33">
      <w:pPr>
        <w:pStyle w:val="FootnoteText"/>
        <w:bidi w:val="0"/>
      </w:pPr>
      <w:r w:rsidRPr="77E96784">
        <w:rPr>
          <w:rStyle w:val="FootnoteReference"/>
          <w:sz w:val="20"/>
          <w:szCs w:val="20"/>
        </w:rPr>
        <w:footnoteRef/>
      </w:r>
      <w:r w:rsidRPr="77E96784" w:rsidR="77E96784">
        <w:rPr>
          <w:sz w:val="20"/>
          <w:szCs w:val="20"/>
        </w:rPr>
        <w:t xml:space="preserve"> stage</w:t>
      </w:r>
    </w:p>
  </w:footnote>
  <w:footnote w:id="30025">
    <w:p w:rsidR="77E96784" w:rsidP="77E96784" w:rsidRDefault="77E96784" w14:paraId="2B7D966E" w14:textId="640A1364">
      <w:pPr>
        <w:pStyle w:val="FootnoteText"/>
        <w:bidi w:val="0"/>
      </w:pPr>
      <w:r w:rsidRPr="77E96784">
        <w:rPr>
          <w:rStyle w:val="FootnoteReference"/>
          <w:sz w:val="20"/>
          <w:szCs w:val="20"/>
        </w:rPr>
        <w:footnoteRef/>
      </w:r>
      <w:r w:rsidRPr="77E96784" w:rsidR="77E96784">
        <w:rPr>
          <w:sz w:val="20"/>
          <w:szCs w:val="20"/>
        </w:rPr>
        <w:t xml:space="preserve"> lack of compliance</w:t>
      </w:r>
    </w:p>
  </w:footnote>
  <w:footnote w:id="26491">
    <w:p w:rsidR="77E96784" w:rsidP="77E96784" w:rsidRDefault="77E96784" w14:paraId="5CB3D83A" w14:textId="7F617E30">
      <w:pPr>
        <w:pStyle w:val="FootnoteText"/>
        <w:bidi w:val="0"/>
      </w:pPr>
      <w:r w:rsidRPr="77E96784">
        <w:rPr>
          <w:rStyle w:val="FootnoteReference"/>
          <w:sz w:val="20"/>
          <w:szCs w:val="20"/>
        </w:rPr>
        <w:footnoteRef/>
      </w:r>
      <w:r w:rsidRPr="77E96784" w:rsidR="77E96784">
        <w:rPr>
          <w:sz w:val="20"/>
          <w:szCs w:val="20"/>
        </w:rPr>
        <w:t xml:space="preserve"> provide</w:t>
      </w:r>
    </w:p>
  </w:footnote>
  <w:footnote w:id="6271">
    <w:p w:rsidR="77E96784" w:rsidP="77E96784" w:rsidRDefault="77E96784" w14:paraId="691D1AA6" w14:textId="32B9BB8A">
      <w:pPr>
        <w:pStyle w:val="FootnoteText"/>
        <w:bidi w:val="0"/>
      </w:pPr>
      <w:r w:rsidRPr="77E96784">
        <w:rPr>
          <w:rStyle w:val="FootnoteReference"/>
          <w:sz w:val="20"/>
          <w:szCs w:val="20"/>
        </w:rPr>
        <w:footnoteRef/>
      </w:r>
      <w:r w:rsidRPr="77E96784" w:rsidR="77E96784">
        <w:rPr>
          <w:sz w:val="20"/>
          <w:szCs w:val="20"/>
        </w:rPr>
        <w:t xml:space="preserve"> meaningful</w:t>
      </w:r>
    </w:p>
  </w:footnote>
  <w:footnote w:id="18696">
    <w:p w:rsidR="77E96784" w:rsidP="77E96784" w:rsidRDefault="77E96784" w14:paraId="646A3237" w14:textId="528E385E">
      <w:pPr>
        <w:pStyle w:val="FootnoteText"/>
        <w:bidi w:val="0"/>
      </w:pPr>
      <w:r w:rsidRPr="77E96784">
        <w:rPr>
          <w:rStyle w:val="FootnoteReference"/>
          <w:sz w:val="20"/>
          <w:szCs w:val="20"/>
        </w:rPr>
        <w:footnoteRef/>
      </w:r>
      <w:r w:rsidRPr="77E96784" w:rsidR="77E96784">
        <w:rPr>
          <w:sz w:val="20"/>
          <w:szCs w:val="20"/>
        </w:rPr>
        <w:t xml:space="preserve"> setting</w:t>
      </w:r>
    </w:p>
  </w:footnote>
  <w:footnote w:id="5973">
    <w:p w:rsidR="77E96784" w:rsidP="77E96784" w:rsidRDefault="77E96784" w14:paraId="0FB4FAF9" w14:textId="58554C32">
      <w:pPr>
        <w:pStyle w:val="FootnoteText"/>
        <w:bidi w:val="0"/>
      </w:pPr>
      <w:r w:rsidRPr="77E96784">
        <w:rPr>
          <w:rStyle w:val="FootnoteReference"/>
          <w:sz w:val="20"/>
          <w:szCs w:val="20"/>
        </w:rPr>
        <w:footnoteRef/>
      </w:r>
      <w:r w:rsidRPr="77E96784" w:rsidR="77E96784">
        <w:rPr>
          <w:sz w:val="20"/>
          <w:szCs w:val="20"/>
        </w:rPr>
        <w:t xml:space="preserve"> largely</w:t>
      </w:r>
    </w:p>
  </w:footnote>
  <w:footnote w:id="2275">
    <w:p w:rsidR="77E96784" w:rsidP="77E96784" w:rsidRDefault="77E96784" w14:paraId="155ECBCA" w14:textId="578F035C">
      <w:pPr>
        <w:pStyle w:val="FootnoteText"/>
        <w:bidi w:val="0"/>
      </w:pPr>
      <w:r w:rsidRPr="77E96784">
        <w:rPr>
          <w:rStyle w:val="FootnoteReference"/>
          <w:sz w:val="20"/>
          <w:szCs w:val="20"/>
        </w:rPr>
        <w:footnoteRef/>
      </w:r>
      <w:r w:rsidRPr="77E96784" w:rsidR="77E96784">
        <w:rPr>
          <w:sz w:val="20"/>
          <w:szCs w:val="20"/>
        </w:rPr>
        <w:t xml:space="preserve"> has been unenforced in practice</w:t>
      </w:r>
    </w:p>
  </w:footnote>
  <w:footnote w:id="18480">
    <w:p w:rsidR="77E96784" w:rsidP="77E96784" w:rsidRDefault="77E96784" w14:paraId="0EE01C2B" w14:textId="0D63E56F">
      <w:pPr>
        <w:pStyle w:val="FootnoteText"/>
        <w:bidi w:val="0"/>
      </w:pPr>
      <w:r w:rsidRPr="77E96784">
        <w:rPr>
          <w:rStyle w:val="FootnoteReference"/>
          <w:sz w:val="20"/>
          <w:szCs w:val="20"/>
        </w:rPr>
        <w:footnoteRef/>
      </w:r>
      <w:r w:rsidRPr="77E96784" w:rsidR="77E96784">
        <w:rPr>
          <w:sz w:val="20"/>
          <w:szCs w:val="20"/>
        </w:rPr>
        <w:t xml:space="preserve"> policies</w:t>
      </w:r>
    </w:p>
  </w:footnote>
  <w:footnote w:id="3444">
    <w:p w:rsidR="77E96784" w:rsidP="77E96784" w:rsidRDefault="77E96784" w14:paraId="373547E0" w14:textId="5BBED7D9">
      <w:pPr>
        <w:pStyle w:val="FootnoteText"/>
        <w:bidi w:val="0"/>
        <w:rPr>
          <w:sz w:val="20"/>
          <w:szCs w:val="20"/>
        </w:rPr>
      </w:pPr>
      <w:r w:rsidRPr="77E96784">
        <w:rPr>
          <w:rStyle w:val="FootnoteReference"/>
          <w:sz w:val="20"/>
          <w:szCs w:val="20"/>
        </w:rPr>
        <w:footnoteRef/>
      </w:r>
      <w:r w:rsidRPr="77E96784" w:rsidR="77E96784">
        <w:rPr>
          <w:sz w:val="20"/>
          <w:szCs w:val="20"/>
        </w:rPr>
        <w:t xml:space="preserve"> </w:t>
      </w:r>
      <w:r w:rsidRPr="77E96784" w:rsidR="77E96784">
        <w:rPr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accent6" w:themeTint="FF" w:themeShade="FF"/>
          <w:sz w:val="22"/>
          <w:szCs w:val="22"/>
          <w:u w:val="none"/>
          <w:lang w:val="en-US"/>
        </w:rPr>
        <w:t>linguistically uninformed</w:t>
      </w:r>
    </w:p>
  </w:footnote>
  <w:footnote w:id="15804">
    <w:p w:rsidR="77E96784" w:rsidP="77E96784" w:rsidRDefault="77E96784" w14:paraId="59413CC1" w14:textId="23F46063">
      <w:pPr>
        <w:pStyle w:val="FootnoteText"/>
        <w:bidi w:val="0"/>
      </w:pPr>
      <w:r w:rsidRPr="77E96784">
        <w:rPr>
          <w:rStyle w:val="FootnoteReference"/>
          <w:sz w:val="20"/>
          <w:szCs w:val="20"/>
        </w:rPr>
        <w:footnoteRef/>
      </w:r>
      <w:r w:rsidRPr="77E96784" w:rsidR="77E96784">
        <w:rPr>
          <w:sz w:val="20"/>
          <w:szCs w:val="20"/>
        </w:rPr>
        <w:t xml:space="preserve"> have relied upon</w:t>
      </w:r>
    </w:p>
  </w:footnote>
  <w:footnote w:id="6424">
    <w:p w:rsidR="77E96784" w:rsidP="77E96784" w:rsidRDefault="77E96784" w14:paraId="059D1523" w14:textId="3C7C19AB">
      <w:pPr>
        <w:pStyle w:val="FootnoteText"/>
        <w:bidi w:val="0"/>
      </w:pPr>
      <w:r w:rsidRPr="77E96784">
        <w:rPr>
          <w:rStyle w:val="FootnoteReference"/>
          <w:sz w:val="20"/>
          <w:szCs w:val="20"/>
        </w:rPr>
        <w:footnoteRef/>
      </w:r>
      <w:r w:rsidRPr="77E96784" w:rsidR="77E96784">
        <w:rPr>
          <w:sz w:val="20"/>
          <w:szCs w:val="20"/>
        </w:rPr>
        <w:t xml:space="preserve"> suspect</w:t>
      </w:r>
    </w:p>
  </w:footnote>
  <w:footnote w:id="4373">
    <w:p w:rsidR="77E96784" w:rsidP="77E96784" w:rsidRDefault="77E96784" w14:paraId="76A72294" w14:textId="478B040A">
      <w:pPr>
        <w:pStyle w:val="FootnoteText"/>
        <w:bidi w:val="0"/>
      </w:pPr>
      <w:r w:rsidRPr="77E96784">
        <w:rPr>
          <w:rStyle w:val="FootnoteReference"/>
          <w:sz w:val="20"/>
          <w:szCs w:val="20"/>
        </w:rPr>
        <w:footnoteRef/>
      </w:r>
      <w:r w:rsidRPr="77E96784" w:rsidR="77E96784">
        <w:rPr>
          <w:sz w:val="20"/>
          <w:szCs w:val="20"/>
        </w:rPr>
        <w:t xml:space="preserve"> has not been trained</w:t>
      </w:r>
    </w:p>
  </w:footnote>
  <w:footnote w:id="15431">
    <w:p w:rsidR="77E96784" w:rsidP="77E96784" w:rsidRDefault="77E96784" w14:paraId="5F684CB2" w14:textId="521D0F5C">
      <w:pPr>
        <w:pStyle w:val="FootnoteText"/>
        <w:bidi w:val="0"/>
        <w:rPr>
          <w:sz w:val="20"/>
          <w:szCs w:val="20"/>
        </w:rPr>
      </w:pPr>
      <w:r w:rsidRPr="77E96784">
        <w:rPr>
          <w:rStyle w:val="FootnoteReference"/>
          <w:sz w:val="20"/>
          <w:szCs w:val="20"/>
        </w:rPr>
        <w:footnoteRef/>
      </w:r>
      <w:r w:rsidRPr="77E96784" w:rsidR="77E96784">
        <w:rPr>
          <w:sz w:val="20"/>
          <w:szCs w:val="20"/>
        </w:rPr>
        <w:t xml:space="preserve"> </w:t>
      </w:r>
      <w:r w:rsidRPr="77E96784" w:rsidR="77E96784">
        <w:rPr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accent6" w:themeTint="FF" w:themeShade="FF"/>
          <w:sz w:val="22"/>
          <w:szCs w:val="22"/>
          <w:u w:val="none"/>
          <w:lang w:val="en-US"/>
        </w:rPr>
        <w:t>specialized training</w:t>
      </w:r>
    </w:p>
  </w:footnote>
  <w:footnote w:id="20099">
    <w:p w:rsidR="77E96784" w:rsidP="77E96784" w:rsidRDefault="77E96784" w14:paraId="47839F60" w14:textId="1530BC03">
      <w:pPr>
        <w:pStyle w:val="FootnoteText"/>
        <w:bidi w:val="0"/>
        <w:rPr>
          <w:sz w:val="20"/>
          <w:szCs w:val="20"/>
        </w:rPr>
      </w:pPr>
      <w:r w:rsidRPr="77E96784">
        <w:rPr>
          <w:rStyle w:val="FootnoteReference"/>
          <w:sz w:val="20"/>
          <w:szCs w:val="20"/>
        </w:rPr>
        <w:footnoteRef/>
      </w:r>
      <w:r w:rsidRPr="77E96784" w:rsidR="77E96784">
        <w:rPr>
          <w:sz w:val="20"/>
          <w:szCs w:val="20"/>
        </w:rPr>
        <w:t xml:space="preserve"> </w:t>
      </w:r>
      <w:r w:rsidRPr="77E96784" w:rsidR="77E96784">
        <w:rPr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accent6" w:themeTint="FF" w:themeShade="FF"/>
          <w:sz w:val="22"/>
          <w:szCs w:val="22"/>
          <w:u w:val="none"/>
          <w:lang w:val="en-US"/>
        </w:rPr>
        <w:t>these cognitively complex</w:t>
      </w:r>
    </w:p>
  </w:footnote>
  <w:footnote w:id="10555">
    <w:p w:rsidR="77E96784" w:rsidP="77E96784" w:rsidRDefault="77E96784" w14:paraId="54D2CDBF" w14:textId="2092A687">
      <w:pPr>
        <w:pStyle w:val="FootnoteText"/>
        <w:bidi w:val="0"/>
        <w:rPr>
          <w:sz w:val="20"/>
          <w:szCs w:val="20"/>
        </w:rPr>
      </w:pPr>
      <w:r w:rsidRPr="77E96784">
        <w:rPr>
          <w:rStyle w:val="FootnoteReference"/>
          <w:sz w:val="20"/>
          <w:szCs w:val="20"/>
        </w:rPr>
        <w:footnoteRef/>
      </w:r>
      <w:r w:rsidRPr="77E96784" w:rsidR="77E96784">
        <w:rPr>
          <w:sz w:val="20"/>
          <w:szCs w:val="20"/>
        </w:rPr>
        <w:t xml:space="preserve"> </w:t>
      </w:r>
      <w:r w:rsidRPr="77E96784" w:rsidR="77E96784">
        <w:rPr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accent6" w:themeTint="FF" w:themeShade="FF"/>
          <w:sz w:val="22"/>
          <w:szCs w:val="22"/>
          <w:u w:val="none"/>
          <w:lang w:val="en-US"/>
        </w:rPr>
        <w:t xml:space="preserve">high-stakes settings </w:t>
      </w:r>
    </w:p>
  </w:footnote>
  <w:footnote w:id="4827">
    <w:p w:rsidR="77E96784" w:rsidP="77E96784" w:rsidRDefault="77E96784" w14:paraId="3F7B9F60" w14:textId="5C9D2A07">
      <w:pPr>
        <w:pStyle w:val="FootnoteText"/>
        <w:bidi w:val="0"/>
        <w:rPr>
          <w:rFonts w:ascii="Calibri" w:hAnsi="Calibri" w:eastAsia="Calibri" w:cs="Calibri"/>
          <w:sz w:val="20"/>
          <w:szCs w:val="20"/>
        </w:rPr>
      </w:pPr>
      <w:r w:rsidRPr="77E96784">
        <w:rPr>
          <w:rStyle w:val="FootnoteReference"/>
          <w:sz w:val="20"/>
          <w:szCs w:val="20"/>
        </w:rPr>
        <w:footnoteRef/>
      </w:r>
      <w:r w:rsidRPr="77E96784" w:rsidR="77E96784">
        <w:rPr>
          <w:sz w:val="20"/>
          <w:szCs w:val="20"/>
        </w:rPr>
        <w:t xml:space="preserve"> </w:t>
      </w:r>
      <w:r w:rsidRPr="77E96784" w:rsidR="77E96784">
        <w:rPr>
          <w:rFonts w:ascii="Calibri" w:hAnsi="Calibri" w:eastAsia="Calibri" w:cs="Calibri"/>
          <w:sz w:val="22"/>
          <w:szCs w:val="22"/>
        </w:rPr>
        <w:t>the grave harm caused</w:t>
      </w:r>
    </w:p>
  </w:footnote>
  <w:footnote w:id="12612">
    <w:p w:rsidR="77E96784" w:rsidP="77E96784" w:rsidRDefault="77E96784" w14:paraId="31291721" w14:textId="337438C7">
      <w:pPr>
        <w:pStyle w:val="FootnoteText"/>
        <w:bidi w:val="0"/>
      </w:pPr>
      <w:r w:rsidRPr="77E96784">
        <w:rPr>
          <w:rStyle w:val="FootnoteReference"/>
          <w:sz w:val="20"/>
          <w:szCs w:val="20"/>
        </w:rPr>
        <w:footnoteRef/>
      </w:r>
      <w:r w:rsidRPr="77E96784" w:rsidR="77E96784">
        <w:rPr>
          <w:sz w:val="20"/>
          <w:szCs w:val="20"/>
        </w:rPr>
        <w:t xml:space="preserve"> carry out</w:t>
      </w:r>
    </w:p>
  </w:footnote>
  <w:footnote w:id="6011">
    <w:p w:rsidR="77E96784" w:rsidP="77E96784" w:rsidRDefault="77E96784" w14:paraId="5B9112EC" w14:textId="1127BFFE">
      <w:pPr>
        <w:pStyle w:val="FootnoteText"/>
        <w:bidi w:val="0"/>
        <w:rPr>
          <w:sz w:val="20"/>
          <w:szCs w:val="20"/>
        </w:rPr>
      </w:pPr>
      <w:r w:rsidRPr="77E96784">
        <w:rPr>
          <w:rStyle w:val="FootnoteReference"/>
          <w:sz w:val="20"/>
          <w:szCs w:val="20"/>
        </w:rPr>
        <w:footnoteRef/>
      </w:r>
      <w:r w:rsidRPr="77E96784" w:rsidR="77E96784">
        <w:rPr>
          <w:sz w:val="20"/>
          <w:szCs w:val="20"/>
        </w:rPr>
        <w:t xml:space="preserve"> </w:t>
      </w:r>
      <w:r w:rsidRPr="77E96784" w:rsidR="77E96784">
        <w:rPr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accent6" w:themeTint="FF" w:themeShade="FF"/>
          <w:sz w:val="22"/>
          <w:szCs w:val="22"/>
          <w:u w:val="none"/>
          <w:lang w:val="en-US"/>
        </w:rPr>
        <w:t>the law enforcement setting</w:t>
      </w:r>
    </w:p>
  </w:footnote>
  <w:footnote w:id="6780">
    <w:p w:rsidR="77E96784" w:rsidP="77E96784" w:rsidRDefault="77E96784" w14:paraId="4CD1FCD1" w14:textId="00AF522C">
      <w:pPr>
        <w:pStyle w:val="FootnoteText"/>
        <w:bidi w:val="0"/>
      </w:pPr>
      <w:r w:rsidRPr="77E96784">
        <w:rPr>
          <w:rStyle w:val="FootnoteReference"/>
          <w:sz w:val="20"/>
          <w:szCs w:val="20"/>
        </w:rPr>
        <w:footnoteRef/>
      </w:r>
      <w:r w:rsidRPr="77E96784" w:rsidR="77E96784">
        <w:rPr>
          <w:sz w:val="20"/>
          <w:szCs w:val="20"/>
        </w:rPr>
        <w:t xml:space="preserve"> when giving</w:t>
      </w:r>
    </w:p>
  </w:footnote>
  <w:footnote w:id="1292">
    <w:p w:rsidR="77E96784" w:rsidP="77E96784" w:rsidRDefault="77E96784" w14:paraId="31CF4781" w14:textId="5083B683">
      <w:pPr>
        <w:pStyle w:val="FootnoteText"/>
        <w:bidi w:val="0"/>
        <w:rPr>
          <w:sz w:val="20"/>
          <w:szCs w:val="20"/>
        </w:rPr>
      </w:pPr>
      <w:r w:rsidRPr="77E96784">
        <w:rPr>
          <w:rStyle w:val="FootnoteReference"/>
          <w:sz w:val="20"/>
          <w:szCs w:val="20"/>
        </w:rPr>
        <w:footnoteRef/>
      </w:r>
      <w:r w:rsidRPr="77E96784" w:rsidR="77E96784">
        <w:rPr>
          <w:sz w:val="20"/>
          <w:szCs w:val="20"/>
        </w:rPr>
        <w:t xml:space="preserve"> </w:t>
      </w:r>
      <w:r w:rsidRPr="77E96784" w:rsidR="77E9678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color w:val="000000" w:themeColor="accent6" w:themeTint="FF" w:themeShade="FF"/>
          <w:sz w:val="22"/>
          <w:szCs w:val="22"/>
        </w:rPr>
        <w:t>have in place quality control measures that guarantee</w:t>
      </w:r>
    </w:p>
  </w:footnote>
  <w:footnote w:id="28946">
    <w:p w:rsidR="77E96784" w:rsidP="77E96784" w:rsidRDefault="77E96784" w14:paraId="05E1EE04" w14:textId="5321D4A6">
      <w:pPr>
        <w:pStyle w:val="FootnoteText"/>
        <w:bidi w:val="0"/>
        <w:rPr>
          <w:sz w:val="20"/>
          <w:szCs w:val="20"/>
        </w:rPr>
      </w:pPr>
      <w:r w:rsidRPr="77E96784">
        <w:rPr>
          <w:rStyle w:val="FootnoteReference"/>
          <w:sz w:val="20"/>
          <w:szCs w:val="20"/>
        </w:rPr>
        <w:footnoteRef/>
      </w:r>
      <w:r w:rsidRPr="77E96784" w:rsidR="77E96784">
        <w:rPr>
          <w:sz w:val="20"/>
          <w:szCs w:val="20"/>
        </w:rPr>
        <w:t xml:space="preserve"> </w:t>
      </w:r>
      <w:r w:rsidRPr="77E96784" w:rsidR="77E96784">
        <w:rPr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accent6" w:themeTint="FF" w:themeShade="FF"/>
          <w:sz w:val="22"/>
          <w:szCs w:val="22"/>
          <w:u w:val="none"/>
          <w:lang w:val="en-US"/>
        </w:rPr>
        <w:t>are viewed through a different lens</w:t>
      </w:r>
    </w:p>
  </w:footnote>
  <w:footnote w:id="7559">
    <w:p w:rsidR="77E96784" w:rsidP="77E96784" w:rsidRDefault="77E96784" w14:paraId="6A51A921" w14:textId="6FBD3800">
      <w:pPr>
        <w:pStyle w:val="FootnoteText"/>
        <w:bidi w:val="0"/>
        <w:rPr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accent6" w:themeTint="FF" w:themeShade="FF"/>
          <w:sz w:val="20"/>
          <w:szCs w:val="20"/>
          <w:u w:val="none"/>
          <w:lang w:val="en-US"/>
        </w:rPr>
      </w:pPr>
      <w:r w:rsidRPr="77E96784">
        <w:rPr>
          <w:rStyle w:val="FootnoteReference"/>
          <w:sz w:val="20"/>
          <w:szCs w:val="20"/>
        </w:rPr>
        <w:footnoteRef/>
      </w:r>
      <w:r w:rsidRPr="77E96784" w:rsidR="77E96784">
        <w:rPr>
          <w:sz w:val="20"/>
          <w:szCs w:val="20"/>
        </w:rPr>
        <w:t xml:space="preserve"> </w:t>
      </w:r>
      <w:r w:rsidRPr="77E96784" w:rsidR="77E96784">
        <w:rPr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accent6" w:themeTint="FF" w:themeShade="FF"/>
          <w:sz w:val="22"/>
          <w:szCs w:val="22"/>
          <w:u w:val="none"/>
          <w:lang w:val="en-US"/>
        </w:rPr>
        <w:t>are not salient to the legal outcomes of LEP individuals.</w:t>
      </w:r>
    </w:p>
  </w:footnote>
  <w:footnote w:id="23953">
    <w:p w:rsidR="77E96784" w:rsidP="77E96784" w:rsidRDefault="77E96784" w14:paraId="6F476287" w14:textId="1A1D99B1">
      <w:pPr>
        <w:pStyle w:val="FootnoteText"/>
        <w:bidi w:val="0"/>
        <w:rPr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accent6" w:themeTint="FF" w:themeShade="FF"/>
          <w:sz w:val="20"/>
          <w:szCs w:val="20"/>
          <w:u w:val="none"/>
          <w:lang w:val="en-US"/>
        </w:rPr>
      </w:pPr>
      <w:r w:rsidRPr="77E96784">
        <w:rPr>
          <w:rStyle w:val="FootnoteReference"/>
          <w:sz w:val="20"/>
          <w:szCs w:val="20"/>
        </w:rPr>
        <w:footnoteRef/>
      </w:r>
      <w:r w:rsidRPr="77E96784" w:rsidR="77E96784">
        <w:rPr>
          <w:sz w:val="20"/>
          <w:szCs w:val="20"/>
        </w:rPr>
        <w:t xml:space="preserve"> </w:t>
      </w:r>
      <w:r w:rsidRPr="77E96784" w:rsidR="77E96784">
        <w:rPr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accent6" w:themeTint="FF" w:themeShade="FF"/>
          <w:sz w:val="22"/>
          <w:szCs w:val="22"/>
          <w:u w:val="none"/>
          <w:lang w:val="en-US"/>
        </w:rPr>
        <w:t>emphasizes that language assistance services for LEP persons in critical interactions that threaten life or liberty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mc="http://schemas.openxmlformats.org/markup-compatibility/2006" xmlns:w15="http://schemas.microsoft.com/office/word/2012/wordml" mc:Ignorable="w14 wp14 w15">
  <w:trackRevisions w:val="false"/>
  <w:defaultTabStop w:val="720"/>
  <w:endnotePr>
    <w:pos w:val="docEnd"/>
  </w:endnotePr>
  <w:compat>
    <w:useFELayout/>
  </w:compat>
  <w14:docId w14:val="1F349384"/>
  <w15:docId w15:val="{13D31C3F-9793-45D1-853A-28E435A4B058}"/>
  <w:footnotePr>
    <w:footnote w:id="-1"/>
    <w:footnote w:id="0"/>
  </w:footnotePr>
  <w:rsids>
    <w:rsidRoot w:val="1027CB3D"/>
    <w:rsid w:val="1027CB3D"/>
    <w:rsid w:val="113D07BF"/>
    <w:rsid w:val="1143F926"/>
    <w:rsid w:val="18F50F0C"/>
    <w:rsid w:val="21E1ACEE"/>
    <w:rsid w:val="22E7D8AD"/>
    <w:rsid w:val="2C4AC11E"/>
    <w:rsid w:val="2C4AC11E"/>
    <w:rsid w:val="2E7D6416"/>
    <w:rsid w:val="2FB45790"/>
    <w:rsid w:val="34D37D3D"/>
    <w:rsid w:val="35D157CA"/>
    <w:rsid w:val="35D157CA"/>
    <w:rsid w:val="3ECD6A1B"/>
    <w:rsid w:val="45A381BF"/>
    <w:rsid w:val="48B81460"/>
    <w:rsid w:val="48B81460"/>
    <w:rsid w:val="4B8A7394"/>
    <w:rsid w:val="55F387C4"/>
    <w:rsid w:val="58D625B0"/>
    <w:rsid w:val="5C945A51"/>
    <w:rsid w:val="5C945A51"/>
    <w:rsid w:val="5E308F59"/>
    <w:rsid w:val="67E74BB0"/>
    <w:rsid w:val="7186416B"/>
    <w:rsid w:val="7186416B"/>
    <w:rsid w:val="7501AA2C"/>
    <w:rsid w:val="766B84DD"/>
    <w:rsid w:val="76E92F17"/>
    <w:rsid w:val="76E92F17"/>
    <w:rsid w:val="77E96784"/>
    <w:rsid w:val="7EED8361"/>
  </w:rsids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Calibri" w:hAnsi="Calibri" w:eastAsia="Calibri" w:cs="Calibri"/>
        <w:sz w:val="24"/>
        <w:szCs w:val="24"/>
      </w:rPr>
    </w:rPrDefault>
    <w:pPrDefault>
      <w:pPr/>
    </w:pPrDefault>
  </w:docDefaults>
  <w:style w:type="paragraph" w:styleId="Normal" w:default="1">
    <w:name w:val="Normal"/>
    <w:pPr>
      <w:spacing w:before="0" w:after="160" w:line="259" w:lineRule="auto"/>
    </w:pPr>
  </w:style>
  <w:style w:type="character" w:styleId="DefaultParagraphFont" w:default="1">
    <w:name w:val="Default Paragraph Font"/>
  </w:style>
  <w:style w:type="paragraph" w:styleId="NoList">
    <w:name w:val="No List"/>
    <w:basedOn w:val="Normal"/>
    <w:next w:val="Normal"/>
    <w:pPr>
      <w:spacing w:before="0" w:after="160" w:line="259" w:lineRule="auto"/>
    </w:pPr>
  </w:style>
  <w:style w:type="table" w:styleId="TableNormal" w:default="1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FootnoteReference" mc:Ignorable="w14">
    <w:basedOn xmlns:w="http://schemas.openxmlformats.org/wordprocessingml/2006/main" w:val="DefaultParagraphFont"/>
    <w:name xmlns:w="http://schemas.openxmlformats.org/wordprocessingml/2006/main" w:val="footnote reference"/>
    <w:rPr xmlns:w="http://schemas.openxmlformats.org/wordprocessingml/2006/main">
      <w:vertAlign w:val="superscript"/>
    </w:rPr>
    <w:semiHidden xmlns:w="http://schemas.openxmlformats.org/wordprocessingml/2006/main"/>
    <w:uiPriority xmlns:w="http://schemas.openxmlformats.org/wordprocessingml/2006/main" w:val="99"/>
    <w:unhideWhenUsed xmlns:w="http://schemas.openxmlformats.org/wordprocessingml/2006/main"/>
  </w:style>
  <w:style xmlns:w14="http://schemas.microsoft.com/office/word/2010/wordml" xmlns:mc="http://schemas.openxmlformats.org/markup-compatibility/2006" xmlns:w="http://schemas.openxmlformats.org/wordprocessingml/2006/main" w:type="character" w:styleId="FootnoteTextChar" w:customStyle="1" mc:Ignorable="w14">
    <w:name xmlns:w="http://schemas.openxmlformats.org/wordprocessingml/2006/main" w:val="Footnote Text Char"/>
    <w:basedOn xmlns:w="http://schemas.openxmlformats.org/wordprocessingml/2006/main" w:val="DefaultParagraphFont"/>
    <w:link xmlns:w="http://schemas.openxmlformats.org/wordprocessingml/2006/main" w:val="FootnoteText"/>
    <w:rPr xmlns:w="http://schemas.openxmlformats.org/wordprocessingml/2006/main">
      <w:sz w:val="20"/>
      <w:szCs w:val="20"/>
    </w:rPr>
    <w:semiHidden xmlns:w="http://schemas.openxmlformats.org/wordprocessingml/2006/main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noteText" mc:Ignorable="w14">
    <w:basedOn xmlns:w="http://schemas.openxmlformats.org/wordprocessingml/2006/main" w:val="Normal"/>
    <w:link xmlns:w="http://schemas.openxmlformats.org/wordprocessingml/2006/main" w:val="FootnoteTextChar"/>
    <w:name xmlns:w="http://schemas.openxmlformats.org/wordprocessingml/2006/main" w:val="footnote text"/>
    <w:pPr xmlns:w="http://schemas.openxmlformats.org/wordprocessingml/2006/main">
      <w:spacing xmlns:w="http://schemas.openxmlformats.org/wordprocessingml/2006/main" w:after="0" w:line="240" w:lineRule="auto"/>
    </w:pPr>
    <w:rPr xmlns:w="http://schemas.openxmlformats.org/wordprocessingml/2006/main">
      <w:sz w:val="20"/>
      <w:szCs w:val="20"/>
    </w:rPr>
    <w:semiHidden xmlns:w="http://schemas.openxmlformats.org/wordprocessingml/2006/main"/>
    <w:uiPriority xmlns:w="http://schemas.openxmlformats.org/wordprocessingml/2006/main" w:val="99"/>
    <w:unhideWhenUsed xmlns:w="http://schemas.openxmlformats.org/wordprocessingml/2006/main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6" /><Relationship Type="http://schemas.openxmlformats.org/officeDocument/2006/relationships/webSettings" Target="webSettings.xml" Id="rId7" /><Relationship Type="http://schemas.openxmlformats.org/officeDocument/2006/relationships/fontTable" Target="fontTable.xml" Id="rId8" /><Relationship Type="http://schemas.openxmlformats.org/officeDocument/2006/relationships/styles" Target="styles.xml" Id="rId9" /><Relationship Type="http://schemas.openxmlformats.org/officeDocument/2006/relationships/numbering" Target="numbering.xml" Id="rId10" /><Relationship Type="http://schemas.openxmlformats.org/officeDocument/2006/relationships/footnotes" Target="/word/footnotes.xml" Id="R6a275ae221174506" /></Relationships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Company/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Acker, Thomas</dc:creator>
  <keywords/>
  <dc:description/>
  <lastModifiedBy>Acker, Thomas</lastModifiedBy>
  <dcterms:created xsi:type="dcterms:W3CDTF">2021-10-08T19:46:05.0000000Z</dcterms:created>
  <dcterms:modified xsi:type="dcterms:W3CDTF">2021-10-08T20:35:14.5907627Z</dcterms:modified>
</coreProperties>
</file>